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1D" w:rsidRDefault="001E07FA">
      <w:pPr>
        <w:spacing w:before="240" w:after="36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DILEMAS DA FORMAÇÃO DE PROFESSORES E A IMPORTÂNCIA DA INSERÇÃO DO AMBIENTE NA ABORDAGEM CTS/CTSA</w:t>
      </w:r>
    </w:p>
    <w:p w:rsidR="00DA141D" w:rsidRDefault="001E07FA" w:rsidP="006C2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Franciely Lorenzon Carvalho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:rsidR="00DA141D" w:rsidRDefault="001E07FA" w:rsidP="006C2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Fernanda Santana Santos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3"/>
      </w:r>
    </w:p>
    <w:p w:rsidR="00DA141D" w:rsidRDefault="001E07FA" w:rsidP="006C2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Maria das Graças Ferreira Lobino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4"/>
      </w:r>
    </w:p>
    <w:p w:rsidR="006C2345" w:rsidRDefault="006C2345" w:rsidP="006C2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141D" w:rsidRDefault="001E07FA" w:rsidP="006C234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Atualmente diversos dilemas operam no campo da formação de professores - seja ela a inicial ou a continuada. Dentre eles, destaca-se a existência de certa defasagem quanto à abordagem de questões que envolvam a ciência, a tecnologia, a sociedade e o ambiente; ou seja, que contemple e dialogue com os ideais do movimento CTS (Ciência, Tecnologia e Sociedade) / CTSA (Ciência, Tecnologia, Sociedade e Ambiente). Diante disso, essa lacuna faz com que posteriormente a prática docente seja prejudicada, e, porque não dizer, corrobora também para a perpetuação do analfabetismo científico e a reprodução de discursos hegemônicos que atuam no corpo social. Assim, faz-se necessárias novas estratégias, projetos e diálogos que incentive na formação de professores um ensino crítico, preocupado com as questões que englobam a sociedade e que seja ativo na transformação positiva dessa</w:t>
      </w:r>
      <w:r w:rsidR="002811F3">
        <w:rPr>
          <w:rFonts w:ascii="Times New Roman" w:eastAsia="Times New Roman" w:hAnsi="Times New Roman" w:cs="Times New Roman"/>
          <w:sz w:val="24"/>
          <w:szCs w:val="24"/>
        </w:rPr>
        <w:t xml:space="preserve"> (AULER, 2002)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41D" w:rsidRDefault="001E07FA" w:rsidP="006C234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alcançar uma visão</w:t>
      </w:r>
      <w:r w:rsidR="001A1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crítica do mundo é preci</w:t>
      </w:r>
      <w:r w:rsidR="001A1514">
        <w:rPr>
          <w:rFonts w:ascii="Times New Roman" w:eastAsia="Times New Roman" w:hAnsi="Times New Roman" w:cs="Times New Roman"/>
          <w:sz w:val="24"/>
          <w:szCs w:val="24"/>
        </w:rPr>
        <w:t xml:space="preserve">so considerar como primordial a </w:t>
      </w:r>
      <w:r>
        <w:rPr>
          <w:rFonts w:ascii="Times New Roman" w:eastAsia="Times New Roman" w:hAnsi="Times New Roman" w:cs="Times New Roman"/>
          <w:sz w:val="24"/>
          <w:szCs w:val="24"/>
        </w:rPr>
        <w:t>problematização – como categoria freiriana - de feitos históricos a respeito de atividades C&amp;T (Ciência-Tecnologia), que são tidos como pouco relevantes, como constructos da "superioridade/neutralidade do modelo de decisões</w:t>
      </w:r>
      <w:r w:rsidR="001A1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tecnocráticas, perspectiva salvacionista/redentora atribuída</w:t>
      </w:r>
      <w:r w:rsidR="001A1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à C&amp;T e o determinismo tecnológico". As construções</w:t>
      </w:r>
      <w:r w:rsidR="001A1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históricas, que foram por meio do passar do tempo se transformando em senso comum, exercem, dentre outras coisas como mitos, aspecto denunciado por Freire (AULER; DELIZOICOV, 2006, p.4).</w:t>
      </w:r>
    </w:p>
    <w:p w:rsidR="00DA141D" w:rsidRDefault="001E07FA" w:rsidP="006C234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Diante do problema, vemos a necessidade da implementação de uma proposta de intervenção e ação por meio da abordagem CTS/CTSA nos cursos de formação de professores, buscando a compreensão de interações entre CTS, associando o ensino de conceitos à problematização destas construções</w:t>
      </w:r>
      <w:r w:rsidR="001A1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históricas vinculadas à suposta neutralidade da C&amp;T (AULER; DELIZOICOV, 2006, p.2). E assim, por meio dela, potenciais contribuições para uma percepção e conceituação mais adequada dos conceitos que englobam a CTSA, poderão ser gerados; garantindo maior criticidade à formação docente e posteriormente em suas práticas.</w:t>
      </w:r>
    </w:p>
    <w:p w:rsidR="00DA141D" w:rsidRDefault="001A1514" w:rsidP="006C234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objetivo da pesquisa é mostrar a necessidade dessa abordagem nos cursos de formação de professores. </w:t>
      </w:r>
      <w:r w:rsidR="001E07FA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281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isso</w:t>
      </w:r>
      <w:r w:rsidR="002811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07FA">
        <w:rPr>
          <w:rFonts w:ascii="Times New Roman" w:eastAsia="Times New Roman" w:hAnsi="Times New Roman" w:cs="Times New Roman"/>
          <w:sz w:val="24"/>
          <w:szCs w:val="24"/>
        </w:rPr>
        <w:t xml:space="preserve"> foi preciso identificar os dilemas existentes </w:t>
      </w:r>
      <w:r w:rsidR="002811F3">
        <w:rPr>
          <w:rFonts w:ascii="Times New Roman" w:eastAsia="Times New Roman" w:hAnsi="Times New Roman" w:cs="Times New Roman"/>
          <w:sz w:val="24"/>
          <w:szCs w:val="24"/>
        </w:rPr>
        <w:t>n</w:t>
      </w:r>
      <w:r w:rsidR="001E07FA">
        <w:rPr>
          <w:rFonts w:ascii="Times New Roman" w:eastAsia="Times New Roman" w:hAnsi="Times New Roman" w:cs="Times New Roman"/>
          <w:sz w:val="24"/>
          <w:szCs w:val="24"/>
        </w:rPr>
        <w:t>o âmbito da formação de professores e o diferencial do “A” no movimento CTS/CTSA.</w:t>
      </w:r>
    </w:p>
    <w:p w:rsidR="00DA141D" w:rsidRDefault="001E07FA" w:rsidP="006C2345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campo da formação de professores, selecionamos estudos centrados em uma perspectiva que apontassem os problemas e desafios que são vistos atualmente nesse contexto educacional brasileiro, levando em consideração a relevância dos autores na área. Após essa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delimitação e o desenvolvimento dos conceitos vinculados a esse estudo, vimos a necessidade de trazer pesquisas, projetos e contextos educacionais que tratam da relação entre CTS/CTSA e a garantia de uma sociedade alfabetizada cientificamente e criticamente. </w:t>
      </w:r>
    </w:p>
    <w:p w:rsidR="00DA141D" w:rsidRDefault="001E07FA" w:rsidP="006C2345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movimento CTS repercutiu primeiramente em circunstâncias materiais de populações que </w:t>
      </w:r>
      <w:r w:rsidR="002811F3">
        <w:rPr>
          <w:rFonts w:ascii="Times New Roman" w:eastAsia="Times New Roman" w:hAnsi="Times New Roman" w:cs="Times New Roman"/>
          <w:sz w:val="24"/>
          <w:szCs w:val="24"/>
        </w:rPr>
        <w:t>se mostravam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finalmente lúcidas e insatisfeitas, logo, nesses contextos haviam condições razoáveis para o surgimento dessa criticidade. Entretanto, tal fator, em quase todos os países da América Latina</w:t>
      </w:r>
      <w:r w:rsidR="002811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acontece de maneira mais lenta, dado que parte significativa da população dessas nações foram historicamente condenadas a uma carência material. Cabe salientar que isso nada mais é do que um fruto das marcas do passado colonial desses países, cujos reflexos podem ser vistos </w:t>
      </w:r>
      <w:r w:rsidR="002811F3">
        <w:rPr>
          <w:rFonts w:ascii="Times New Roman" w:eastAsia="Times New Roman" w:hAnsi="Times New Roman" w:cs="Times New Roman"/>
          <w:sz w:val="24"/>
          <w:szCs w:val="24"/>
        </w:rPr>
        <w:t xml:space="preserve">no que Paulo Freire (1987) </w:t>
      </w:r>
      <w:r>
        <w:rPr>
          <w:rFonts w:ascii="Times New Roman" w:eastAsia="Times New Roman" w:hAnsi="Times New Roman" w:cs="Times New Roman"/>
          <w:sz w:val="24"/>
          <w:szCs w:val="24"/>
        </w:rPr>
        <w:t>“denominou de “cultura do silêncio”, caracterizada pela ausência de participação do conjunto da sociedade em processos decisórios” (</w:t>
      </w:r>
      <w:r w:rsidR="002811F3">
        <w:rPr>
          <w:rFonts w:ascii="Times New Roman" w:eastAsia="Times New Roman" w:hAnsi="Times New Roman" w:cs="Times New Roman"/>
          <w:sz w:val="24"/>
          <w:szCs w:val="24"/>
        </w:rPr>
        <w:t xml:space="preserve">apud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AULER; DELIZOICOV, 2006, p.2). </w:t>
      </w:r>
    </w:p>
    <w:p w:rsidR="00DA141D" w:rsidRDefault="001E07FA" w:rsidP="006C2345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Dado o passado recheado de injustiças e da exacerbada valorização das produções norte-americanas e europeias, surge também o PLACTS: Pensamento Latino-Americano em CTS, o qual traz questionamentos acerca da política científica e tecnológica instaurada na américa-latina, já que por diversas vezes fomos retransmissores do que estava sendo feito no hemisfério norte, sem pensar nas particularidades históricas, políticas, econômicas e sociais dos Estados </w:t>
      </w:r>
      <w:r w:rsidR="002811F3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atinos. </w:t>
      </w:r>
    </w:p>
    <w:p w:rsidR="00DA141D" w:rsidRDefault="001E07FA" w:rsidP="006C2345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Dessarte, da sigla CTS/CTSA, muito foi especulado e é falado acerca da Ciência e da Tecnologia. Contudo, o “S” de sociedade e o “A” de ambiente geralmente são vistos apenas como os locais nos quais aconteciam a ciência e a tecnologia, o que deixa uma brecha a qual deve ser preenchida. É preciso ter em mente que essa falta de questionamentos e discussões sobre a sociedade e o ambiente também necessitam ser contempladas, debatidas, pensadas e estudadas. Afinal, que sociedade é essa? Que ambiente é esse? Quais são as características desses, e quais são as relações de poder que os envolvem? Quem ou o que os constitui? É indubitável, portanto, falarmos sobre essa sociedade e sobre esse ambiente, não os fixando e misturando como um bloco monolítico, mas sim como esferas determinantes e impulsionadoras da construção científica e tecnológica. </w:t>
      </w:r>
    </w:p>
    <w:p w:rsidR="00DA141D" w:rsidRDefault="001E07FA" w:rsidP="006C2345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Segundo Lobino (2007), são</w:t>
      </w:r>
      <w:r w:rsidR="001A1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necessárias novas posturas, desde às institucionais a até mesmo na formulação de políticas mais vigorosas, pois "embora a escola esteja articulada prevalentemente à reprodução</w:t>
      </w:r>
      <w:r w:rsidR="001A1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ideológica dominante, ela pode forjar, em seu bojo, um processo contra-ideológico” e nesse cenário surge “a necessidade de reconstrução de um novo projeto societário e, consequentemente, um novo projeto educativo que comporte simultaneamente a auto, a hetero e a ecoformação” (LOBINO, 2010, p.101).</w:t>
      </w:r>
    </w:p>
    <w:p w:rsidR="00DA141D" w:rsidRDefault="001E07FA" w:rsidP="006C234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resultado podemos traçar um diálogo e um caminho adequado e afirmativo em prol da mudança dos problemas que permeiam a formação de professores. Nesse contexto, através dos levantamentos e pesquisas, percebe-se que a abordagem temática em sala de aula - questões problematizadoras atuais e locais - podem contribuir para a mudança necessária na alfabetização e desenvolvimento crítico docente, permitindo seu posicionamento frente às questões apresentadas na sociedade.</w:t>
      </w:r>
    </w:p>
    <w:p w:rsidR="00DA141D" w:rsidRDefault="001E07FA" w:rsidP="006C234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trabalho ofereceu subsídios para o entendimento de alguns dilemas que englobam o âmbito da formação de professores e elucida com relação ao movimento CTS/CTSA com vistas à uma proposta dessa abordagem na educação. Assim, por meio deste é possível ponderar sobre instrumentos e meios em prol da mudança de paradigmas e a inserção de uma Educação Ambiental mais crítica e sensível aos atuais desafios da sociedade, do ambiente e do mundo. Dessa forma, os diálogos aqui expressos “abrem caminhos que podem contribuir para explicitar contradições concretas na busca de estratégias coletivas para superá-las na linha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uma educação com qualidade socioambiental como direito” (FOLETTO; LOBINO; 2020, p.1).</w:t>
      </w:r>
    </w:p>
    <w:p w:rsidR="00DA141D" w:rsidRDefault="00DA141D" w:rsidP="006C234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345" w:rsidRDefault="006C2345" w:rsidP="006C23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41D" w:rsidRDefault="001E07FA" w:rsidP="006C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6C2345">
        <w:rPr>
          <w:rFonts w:ascii="Times New Roman" w:eastAsia="Times New Roman" w:hAnsi="Times New Roman" w:cs="Times New Roman"/>
          <w:b/>
          <w:sz w:val="24"/>
          <w:szCs w:val="24"/>
        </w:rPr>
        <w:t>eferências</w:t>
      </w:r>
    </w:p>
    <w:p w:rsidR="006C2345" w:rsidRDefault="006C2345" w:rsidP="006C23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41D" w:rsidRDefault="001E07FA" w:rsidP="006C2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AULER, Décio.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Interações entre ciência-tecnologia-sociedade no contexto da formação de professores de ciências.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Tese de Doutorado. Tese (Doutorado em Educação), Centro de Educação, Universidade Federal de Santa Catarina, Florianópolis, 2002. </w:t>
      </w:r>
    </w:p>
    <w:p w:rsidR="006C2345" w:rsidRDefault="006C2345" w:rsidP="006C2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41D" w:rsidRDefault="001E07FA" w:rsidP="006C2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AULER, Décio; DELIZOICOV, Demétrio. Educação CTS: articulação entre pressupostos do educador Paulo Freire e referenciais ligados ao movimento CTS.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Seminário Ibérico CTS no ensino das ciências: las relaciones CTS en</w:t>
      </w:r>
      <w:r w:rsidR="001A151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la</w:t>
      </w:r>
      <w:r w:rsidR="001A151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Educación Científica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v. 4, p. 1-7, 2006. </w:t>
      </w:r>
    </w:p>
    <w:p w:rsidR="006C2345" w:rsidRDefault="006C2345" w:rsidP="006C2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41D" w:rsidRDefault="001E07FA" w:rsidP="006C2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FOLETTO, Rosieli Geraldina Merotto; LOBINO, Maria das Graças Ferreira. Escola Sustentável: desafios na relação escola e comunidade.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Revista Sergipana de Educação Ambiental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v. 9, n. 1, p. 1 - 25, 11 jun. 2020. </w:t>
      </w:r>
    </w:p>
    <w:p w:rsidR="006C2345" w:rsidRDefault="006C2345" w:rsidP="006C2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41D" w:rsidRDefault="001E07FA" w:rsidP="006C2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LOBINO, Maria das Graças Ferreira. A gestão democrática como ponto de partida na formação de eco-educadores para territórios sustentáveis.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Revista Internacional de Investigación</w:t>
      </w:r>
      <w:r w:rsidR="001A15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r w:rsidR="001A15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Ciencias</w:t>
      </w:r>
      <w:r w:rsidR="001A15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Sociales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v. 6, n. 2, p. 99, 2010. </w:t>
      </w:r>
    </w:p>
    <w:p w:rsidR="006C2345" w:rsidRDefault="006C2345" w:rsidP="006C2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41D" w:rsidRDefault="001E07FA" w:rsidP="006C23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LOBINO, Maria das Graças Ferreira.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práxis ambiental educativa: diálogo entre diferentes saberes.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Editora da Universidade Federal do Espírito Santo, 2007. </w:t>
      </w:r>
    </w:p>
    <w:p w:rsidR="00DA141D" w:rsidRDefault="00DA141D" w:rsidP="006C234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141D" w:rsidSect="00710DB4">
      <w:headerReference w:type="default" r:id="rId7"/>
      <w:footerReference w:type="default" r:id="rId8"/>
      <w:pgSz w:w="11906" w:h="16838"/>
      <w:pgMar w:top="2268" w:right="1133" w:bottom="1133" w:left="170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12" w:rsidRDefault="00904412">
      <w:pPr>
        <w:spacing w:after="0" w:line="240" w:lineRule="auto"/>
      </w:pPr>
      <w:r>
        <w:separator/>
      </w:r>
    </w:p>
  </w:endnote>
  <w:endnote w:type="continuationSeparator" w:id="1">
    <w:p w:rsidR="00904412" w:rsidRDefault="0090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1D" w:rsidRDefault="00A901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A9012E">
      <w:rPr>
        <w:noProof/>
      </w:rPr>
      <w:pict>
        <v:rect id="Retângulo 1" o:spid="_x0000_s2049" style="position:absolute;margin-left:302.7pt;margin-top:7.25pt;width:207.6pt;height:41.6pt;z-index:25166540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" filled="f" stroked="f">
          <v:textbox inset="2.53958mm,1.2694mm,2.53958mm,1.2694mm">
            <w:txbxContent>
              <w:p w:rsidR="006C2345" w:rsidRDefault="006C2345" w:rsidP="006C2345">
                <w:pPr>
                  <w:spacing w:line="258" w:lineRule="auto"/>
                  <w:jc w:val="center"/>
                  <w:textDirection w:val="btLr"/>
                </w:pPr>
                <w:r>
                  <w:rPr>
                    <w:b/>
                    <w:color w:val="000000"/>
                    <w:sz w:val="24"/>
                  </w:rPr>
                  <w:t>Site do evento: www.ecpea.com.br</w:t>
                </w:r>
              </w:p>
            </w:txbxContent>
          </v:textbox>
          <w10:wrap type="square"/>
        </v:rect>
      </w:pict>
    </w:r>
    <w:r w:rsidR="001E07FA"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0</wp:posOffset>
          </wp:positionV>
          <wp:extent cx="615560" cy="533101"/>
          <wp:effectExtent l="0" t="0" r="0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0" cy="533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E07FA"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1632644</wp:posOffset>
          </wp:positionH>
          <wp:positionV relativeFrom="paragraph">
            <wp:posOffset>0</wp:posOffset>
          </wp:positionV>
          <wp:extent cx="2134751" cy="759264"/>
          <wp:effectExtent l="0" t="0" r="0" b="0"/>
          <wp:wrapNone/>
          <wp:docPr id="1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4751" cy="759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12" w:rsidRDefault="00904412">
      <w:pPr>
        <w:spacing w:after="0" w:line="240" w:lineRule="auto"/>
      </w:pPr>
      <w:r>
        <w:separator/>
      </w:r>
    </w:p>
  </w:footnote>
  <w:footnote w:type="continuationSeparator" w:id="1">
    <w:p w:rsidR="00904412" w:rsidRDefault="00904412">
      <w:pPr>
        <w:spacing w:after="0" w:line="240" w:lineRule="auto"/>
      </w:pPr>
      <w:r>
        <w:continuationSeparator/>
      </w:r>
    </w:p>
  </w:footnote>
  <w:footnote w:id="2">
    <w:p w:rsidR="00DA141D" w:rsidRDefault="001E07FA" w:rsidP="006C234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>Mestranda do Programa de Pós-graduação em Educação em Ciências e Matemática do Instituto Federal do Espírito Santo, francielylorenzon@gmail.com;;</w:t>
      </w:r>
    </w:p>
  </w:footnote>
  <w:footnote w:id="3">
    <w:p w:rsidR="00DA141D" w:rsidRDefault="001E07FA" w:rsidP="006C2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>Mestranda do Programa de Pós-graduação em Educação em Ciências e Matemática do Instituto Federal do Espírito Santo, f3rnandasantana@gmail.com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</w:footnote>
  <w:footnote w:id="4">
    <w:p w:rsidR="00DA141D" w:rsidRDefault="001E07FA" w:rsidP="006C2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>Profa</w:t>
      </w:r>
      <w:r w:rsidR="001A1514">
        <w:rPr>
          <w:rFonts w:ascii="Arial" w:eastAsia="Arial" w:hAnsi="Arial" w:cs="Arial"/>
          <w:sz w:val="20"/>
          <w:szCs w:val="20"/>
        </w:rPr>
        <w:t>.</w:t>
      </w:r>
      <w:r w:rsidR="006C234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 w:rsidR="001A1514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do Programa de Pós-graduação em Educação em Ciências e Matemática do Instituto Federal do Espírito Santo, doutoradograca@gmail.com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1D" w:rsidRDefault="001E07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374091</wp:posOffset>
          </wp:positionH>
          <wp:positionV relativeFrom="page">
            <wp:posOffset>67945</wp:posOffset>
          </wp:positionV>
          <wp:extent cx="5207330" cy="1204870"/>
          <wp:effectExtent l="0" t="0" r="0" b="0"/>
          <wp:wrapSquare wrapText="bothSides" distT="0" distB="0" distL="0" distR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3959" b="53760"/>
                  <a:stretch>
                    <a:fillRect/>
                  </a:stretch>
                </pic:blipFill>
                <pic:spPr>
                  <a:xfrm>
                    <a:off x="0" y="0"/>
                    <a:ext cx="5207330" cy="1204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391795</wp:posOffset>
          </wp:positionV>
          <wp:extent cx="634213" cy="1935020"/>
          <wp:effectExtent l="0" t="0" r="0" b="0"/>
          <wp:wrapSquare wrapText="bothSides" distT="0" distB="0" distL="0" distR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213" cy="193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-622933</wp:posOffset>
          </wp:positionH>
          <wp:positionV relativeFrom="paragraph">
            <wp:posOffset>-316228</wp:posOffset>
          </wp:positionV>
          <wp:extent cx="990600" cy="1190625"/>
          <wp:effectExtent l="0" t="0" r="0" b="0"/>
          <wp:wrapSquare wrapText="bothSides" distT="0" distB="0" distL="0" distR="0"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l="17789" t="3812" r="16136" b="16773"/>
                  <a:stretch>
                    <a:fillRect/>
                  </a:stretch>
                </pic:blipFill>
                <pic:spPr>
                  <a:xfrm>
                    <a:off x="0" y="0"/>
                    <a:ext cx="990600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-448308</wp:posOffset>
          </wp:positionV>
          <wp:extent cx="1862253" cy="471487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253" cy="471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141D"/>
    <w:rsid w:val="001712CE"/>
    <w:rsid w:val="001A1514"/>
    <w:rsid w:val="001E07FA"/>
    <w:rsid w:val="002811F3"/>
    <w:rsid w:val="006C2345"/>
    <w:rsid w:val="00710DB4"/>
    <w:rsid w:val="00904412"/>
    <w:rsid w:val="00A9012E"/>
    <w:rsid w:val="00D966A6"/>
    <w:rsid w:val="00DA141D"/>
    <w:rsid w:val="00E1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CE"/>
  </w:style>
  <w:style w:type="paragraph" w:styleId="Ttulo1">
    <w:name w:val="heading 1"/>
    <w:basedOn w:val="Normal"/>
    <w:next w:val="Normal"/>
    <w:uiPriority w:val="9"/>
    <w:qFormat/>
    <w:rsid w:val="001712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71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71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712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712C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71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712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712C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712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171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54FF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4FF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4F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semiHidden/>
    <w:unhideWhenUsed/>
    <w:rsid w:val="00854FF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F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38F"/>
  </w:style>
  <w:style w:type="paragraph" w:styleId="Rodap">
    <w:name w:val="footer"/>
    <w:basedOn w:val="Normal"/>
    <w:link w:val="RodapChar"/>
    <w:uiPriority w:val="99"/>
    <w:unhideWhenUsed/>
    <w:rsid w:val="001F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38F"/>
  </w:style>
  <w:style w:type="paragraph" w:styleId="Textodebalo">
    <w:name w:val="Balloon Text"/>
    <w:basedOn w:val="Normal"/>
    <w:link w:val="TextodebaloChar"/>
    <w:uiPriority w:val="99"/>
    <w:semiHidden/>
    <w:unhideWhenUsed/>
    <w:rsid w:val="0028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ECU/ONvsP1WUToLrSkuCTlHZA==">AMUW2mXJBEtHu+2UGS19FCKxp3fx9YbwVZrLJ4zll3yXULM5J1Qz1x+ciq2JA97vfBZ3DKeJsM4hCbWuqaQIm3U2c0VXw77dEbTfR1PFqfY+IBMSsXLFaBs=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1258</Words>
  <Characters>6795</Characters>
  <Application>Microsoft Office Word</Application>
  <DocSecurity>0</DocSecurity>
  <Lines>56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Raphaela Carvalho</cp:lastModifiedBy>
  <cp:revision>5</cp:revision>
  <dcterms:created xsi:type="dcterms:W3CDTF">2020-09-24T17:07:00Z</dcterms:created>
  <dcterms:modified xsi:type="dcterms:W3CDTF">2020-10-20T21:38:00Z</dcterms:modified>
</cp:coreProperties>
</file>